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ALEXANDER MARIN QUINTERO</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SMURFIT KAPPA </w:t>
      </w:r>
      <w:r w:rsidDel="00000000" w:rsidR="00000000" w:rsidRPr="00000000">
        <w:rPr>
          <w:rFonts w:ascii="Arial" w:cs="Arial" w:eastAsia="Arial" w:hAnsi="Arial"/>
          <w:sz w:val="22"/>
          <w:szCs w:val="22"/>
          <w:rtl w:val="0"/>
        </w:rPr>
        <w:t xml:space="preserve">CARTÓN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COLOMBIA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Avenida carrera 9 # 56 41</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TELÉFONO:3143392658</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2021ER40107</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SMURFIT KAPPA </w:t>
            </w:r>
            <w:r w:rsidDel="00000000" w:rsidR="00000000" w:rsidRPr="00000000">
              <w:rPr>
                <w:rFonts w:ascii="Arial" w:cs="Arial" w:eastAsia="Arial" w:hAnsi="Arial"/>
                <w:sz w:val="22"/>
                <w:szCs w:val="22"/>
                <w:rtl w:val="0"/>
              </w:rPr>
              <w:t xml:space="preserve">CARTÓN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COLOMBIA SAS identificada con NIT 890300406-3 y cuya sede inscrita fue la ubicada en Avenida carrera 9 # 56 41,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4"/>
              <w:gridCol w:w="2775"/>
              <w:gridCol w:w="2799"/>
              <w:tblGridChange w:id="0">
                <w:tblGrid>
                  <w:gridCol w:w="2694"/>
                  <w:gridCol w:w="2775"/>
                  <w:gridCol w:w="2799"/>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SMURFIT KAPPA </w:t>
                  </w:r>
                  <w:r w:rsidDel="00000000" w:rsidR="00000000" w:rsidRPr="00000000">
                    <w:rPr>
                      <w:rFonts w:ascii="Arial" w:cs="Arial" w:eastAsia="Arial" w:hAnsi="Arial"/>
                      <w:sz w:val="22"/>
                      <w:szCs w:val="22"/>
                      <w:rtl w:val="0"/>
                    </w:rPr>
                    <w:t xml:space="preserve">CARTÓN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COLOMBIA SAS</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EVALUACIÓN DE PROYECTOS</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estado final del proyecto</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70" w:hRule="atLeast"/>
          <w:tblHeader w:val="0"/>
        </w:trPr>
        <w:tc>
          <w:tcPr>
            <w:shd w:fill="92cddc" w:val="clear"/>
            <w:vAlign w:val="center"/>
          </w:tcPr>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7229" w:hRule="atLeast"/>
          <w:tblHeader w:val="0"/>
        </w:trPr>
        <w:tc>
          <w:tcPr>
            <w:shd w:fill="auto" w:val="clear"/>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559"/>
              <w:gridCol w:w="4849"/>
              <w:tblGridChange w:id="0">
                <w:tblGrid>
                  <w:gridCol w:w="1860"/>
                  <w:gridCol w:w="1559"/>
                  <w:gridCol w:w="4849"/>
                </w:tblGrid>
              </w:tblGridChange>
            </w:tblGrid>
            <w:tr>
              <w:trPr>
                <w:cantSplit w:val="0"/>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Yuliet Dayan Cano Bautista, asistió al  50 % de mesas de trabajo, por lo que no cumple con el requisito de asistencia para respectiva certificación.</w:t>
                  </w:r>
                </w:p>
              </w:tc>
            </w:tr>
            <w:tr>
              <w:trPr>
                <w:cantSplit w:val="0"/>
                <w:tblHeader w:val="0"/>
              </w:trPr>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24 de los 25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fueron las siguientes: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-Ajustar información de la etapa del proyecto, especificando lo que ya está </w:t>
                  </w:r>
                  <w:r w:rsidDel="00000000" w:rsidR="00000000" w:rsidRPr="00000000">
                    <w:rPr>
                      <w:rFonts w:ascii="Arial" w:cs="Arial" w:eastAsia="Arial" w:hAnsi="Arial"/>
                      <w:sz w:val="22"/>
                      <w:szCs w:val="22"/>
                      <w:rtl w:val="0"/>
                    </w:rPr>
                    <w:t xml:space="preserve">implementado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en lo que se vienen </w:t>
                  </w:r>
                  <w:r w:rsidDel="00000000" w:rsidR="00000000" w:rsidRPr="00000000">
                    <w:rPr>
                      <w:rFonts w:ascii="Arial" w:cs="Arial" w:eastAsia="Arial" w:hAnsi="Arial"/>
                      <w:sz w:val="22"/>
                      <w:szCs w:val="22"/>
                      <w:rtl w:val="0"/>
                    </w:rPr>
                    <w:t xml:space="preserve">trabajando</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-Cronograma actualizado</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-Resultados parciales</w:t>
                  </w:r>
                </w:p>
              </w:tc>
            </w:tr>
            <w:tr>
              <w:trPr>
                <w:cantSplit w:val="0"/>
                <w:tblHeader w:val="0"/>
              </w:trPr>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25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sobre la implementación del sistema solar fotovoltaico en el espacio dentro de la empresa delimitado para tal fin, respecto a los indicadores se cuenta con resultados de la implementación del proyecto donde se refiere un ahorro en consumo de 513 kw/mes. Finalmente, respecto a las actividades propuestas para la ejecución del proyecto se identifica que se ha cumplido con la totalidad de lo propuesto.</w:t>
                  </w:r>
                </w:p>
              </w:tc>
            </w:tr>
            <w:tr>
              <w:trPr>
                <w:cantSplit w:val="0"/>
                <w:tblHeader w:val="0"/>
              </w:trPr>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estado final del proyecto</w:t>
                  </w:r>
                </w:p>
              </w:tc>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30 de los 30 puntos posibles correspondientes a este entregable. Los criterios tenidos en cuenta para esta entrega fueron los de: avances en la formulación del proyecto respecto al segundo entregable, el estado final del proyecto y la continuidad del mismo, identificando la implementación y puesta en marcha del proyecto; el reporte de los resultados del proyecto en </w:t>
                  </w:r>
                  <w:r w:rsidDel="00000000" w:rsidR="00000000" w:rsidRPr="00000000">
                    <w:rPr>
                      <w:rFonts w:ascii="Arial" w:cs="Arial" w:eastAsia="Arial" w:hAnsi="Arial"/>
                      <w:sz w:val="22"/>
                      <w:szCs w:val="22"/>
                      <w:rtl w:val="0"/>
                    </w:rPr>
                    <w:t xml:space="preserve">términos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ahorros energéticos, económicos y los beneficios ambientales; finalmente, se evidencia interés en mantener y ampliar el proyecto en el tiempo, con el fin de seguir reduciendo consumos energéticos.</w:t>
                  </w:r>
                </w:p>
              </w:tc>
            </w:tr>
            <w:tr>
              <w:trPr>
                <w:cantSplit w:val="0"/>
                <w:trHeight w:val="1081" w:hRule="atLeast"/>
                <w:tblHeader w:val="0"/>
              </w:trPr>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84</w:t>
                  </w:r>
                  <w:r w:rsidDel="00000000" w:rsidR="00000000" w:rsidRPr="00000000">
                    <w:rPr>
                      <w:rtl w:val="0"/>
                    </w:rPr>
                  </w:r>
                </w:p>
              </w:tc>
            </w:tr>
          </w:tbl>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135.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3"/>
              <w:gridCol w:w="6293"/>
              <w:tblGridChange w:id="0">
                <w:tblGrid>
                  <w:gridCol w:w="1843"/>
                  <w:gridCol w:w="6293"/>
                </w:tblGrid>
              </w:tblGridChange>
            </w:tblGrid>
            <w:tr>
              <w:trPr>
                <w:cantSplit w:val="0"/>
                <w:trHeight w:val="247" w:hRule="atLeast"/>
                <w:tblHeader w:val="0"/>
              </w:trPr>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528" w:hRule="atLeast"/>
                <w:tblHeader w:val="0"/>
              </w:trPr>
              <w:tc>
                <w:tcPr/>
                <w:p w:rsidR="00000000" w:rsidDel="00000000" w:rsidP="00000000" w:rsidRDefault="00000000" w:rsidRPr="00000000" w14:paraId="0000008E">
                  <w:pP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Proyecto Verde- Implementación de energías renovables (Paneles fotovoltaicos)</w:t>
                  </w:r>
                </w:p>
                <w:p w:rsidR="00000000" w:rsidDel="00000000" w:rsidP="00000000" w:rsidRDefault="00000000" w:rsidRPr="00000000" w14:paraId="0000008F">
                  <w:pPr>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90">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1">
                  <w:pPr>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Implementación de un proyecto de generación de energía, compuesto por 12 paneles de 350 W de potencia, que generan hasta 451 kWh mensuales.</w:t>
                  </w:r>
                  <w:r w:rsidDel="00000000" w:rsidR="00000000" w:rsidRPr="00000000">
                    <w:rPr>
                      <w:rtl w:val="0"/>
                    </w:rPr>
                  </w:r>
                </w:p>
              </w:tc>
            </w:tr>
          </w:tbl>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generación de energía  a partir de tecnología solar fotovoltaica. Este proyecto se encuentra  implementado y  pretende ampliarse para el año 2022.  Se recomienda seguir avanzando  en las oportunidades identificadas  para mejorar el desempeño energético de la organización.</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la participación en el proyecto inscrito dando cumplimiento de las actividades establecidas , esto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Finalmente, </w:t>
            </w:r>
            <w:r w:rsidDel="00000000" w:rsidR="00000000" w:rsidRPr="00000000">
              <w:rPr>
                <w:rFonts w:ascii="Arial" w:cs="Arial" w:eastAsia="Arial" w:hAnsi="Arial"/>
                <w:sz w:val="22"/>
                <w:szCs w:val="22"/>
                <w:rtl w:val="0"/>
              </w:rPr>
              <w:t xml:space="preserve">lo invitamos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9E">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L8psOD7k6L9GYoFiCZfrE8k1vQ==">AMUW2mWo54pxZY3CqG9hYSDV/BwRUFOqLELb1mmklf3PTO6DBTOp5y5ndOWDW1YBjYXGG6KavFwyx/NUCdkXgm6zm7vkWKaCTY5XyVUyI3PdGAKxAMqCInI=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2021-11-26T15:50:00Z</dcterms:created>
  <dc:creator>Jorge Manrique</dc:creator>
</cp:coreProperties>
</file>